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4C" w:rsidRPr="00BA4E4C" w:rsidRDefault="00BA4E4C" w:rsidP="00BA4E4C">
      <w:pPr>
        <w:widowControl/>
        <w:pBdr>
          <w:bottom w:val="single" w:sz="12" w:space="4" w:color="ECECEC"/>
        </w:pBdr>
        <w:shd w:val="clear" w:color="auto" w:fill="FFFFFF"/>
        <w:spacing w:before="100" w:beforeAutospacing="1" w:after="100" w:afterAutospacing="1" w:line="390" w:lineRule="atLeast"/>
        <w:jc w:val="center"/>
        <w:outlineLvl w:val="0"/>
        <w:rPr>
          <w:rFonts w:ascii="Arial" w:eastAsia="宋体" w:hAnsi="Arial" w:cs="Arial"/>
          <w:color w:val="424242"/>
          <w:kern w:val="36"/>
          <w:sz w:val="27"/>
          <w:szCs w:val="27"/>
        </w:rPr>
      </w:pPr>
      <w:r w:rsidRPr="00BA4E4C">
        <w:rPr>
          <w:rFonts w:ascii="Arial" w:eastAsia="宋体" w:hAnsi="Arial" w:cs="Arial"/>
          <w:color w:val="424242"/>
          <w:kern w:val="36"/>
          <w:sz w:val="27"/>
          <w:szCs w:val="27"/>
        </w:rPr>
        <w:t>关于开展</w:t>
      </w:r>
      <w:r w:rsidRPr="00BA4E4C">
        <w:rPr>
          <w:rFonts w:ascii="Arial" w:eastAsia="宋体" w:hAnsi="Arial" w:cs="Arial"/>
          <w:color w:val="424242"/>
          <w:kern w:val="36"/>
          <w:sz w:val="27"/>
          <w:szCs w:val="27"/>
        </w:rPr>
        <w:t>2017</w:t>
      </w:r>
      <w:r w:rsidRPr="00BA4E4C">
        <w:rPr>
          <w:rFonts w:ascii="Arial" w:eastAsia="宋体" w:hAnsi="Arial" w:cs="Arial"/>
          <w:color w:val="424242"/>
          <w:kern w:val="36"/>
          <w:sz w:val="27"/>
          <w:szCs w:val="27"/>
        </w:rPr>
        <w:t>年离退休人员及教职工健康体检工作的通知</w:t>
      </w:r>
      <w:r w:rsidRPr="00BA4E4C">
        <w:rPr>
          <w:rFonts w:ascii="Arial" w:eastAsia="宋体" w:hAnsi="Arial" w:cs="Arial"/>
          <w:vanish/>
          <w:color w:val="333333"/>
          <w:kern w:val="0"/>
          <w:szCs w:val="21"/>
        </w:rPr>
        <w:fldChar w:fldCharType="begin"/>
      </w:r>
      <w:r w:rsidRPr="00BA4E4C">
        <w:rPr>
          <w:rFonts w:ascii="Arial" w:eastAsia="宋体" w:hAnsi="Arial" w:cs="Arial"/>
          <w:vanish/>
          <w:color w:val="333333"/>
          <w:kern w:val="0"/>
          <w:szCs w:val="21"/>
        </w:rPr>
        <w:instrText xml:space="preserve"> HYPERLINK "javascript:void(0)" </w:instrText>
      </w:r>
      <w:r w:rsidRPr="00BA4E4C">
        <w:rPr>
          <w:rFonts w:ascii="Arial" w:eastAsia="宋体" w:hAnsi="Arial" w:cs="Arial"/>
          <w:vanish/>
          <w:color w:val="333333"/>
          <w:kern w:val="0"/>
          <w:szCs w:val="21"/>
        </w:rPr>
        <w:fldChar w:fldCharType="separate"/>
      </w:r>
      <w:r w:rsidRPr="00BA4E4C">
        <w:rPr>
          <w:rFonts w:ascii="Arial" w:eastAsia="宋体" w:hAnsi="Arial" w:cs="Arial"/>
          <w:vanish/>
          <w:color w:val="333333"/>
          <w:kern w:val="0"/>
          <w:szCs w:val="21"/>
        </w:rPr>
        <w:t>A+</w:t>
      </w:r>
      <w:r w:rsidRPr="00BA4E4C">
        <w:rPr>
          <w:rFonts w:ascii="Arial" w:eastAsia="宋体" w:hAnsi="Arial" w:cs="Arial"/>
          <w:vanish/>
          <w:color w:val="333333"/>
          <w:kern w:val="0"/>
          <w:szCs w:val="21"/>
        </w:rPr>
        <w:fldChar w:fldCharType="end"/>
      </w:r>
      <w:r w:rsidRPr="00BA4E4C">
        <w:rPr>
          <w:rFonts w:ascii="Arial" w:eastAsia="宋体" w:hAnsi="Arial" w:cs="Arial"/>
          <w:vanish/>
          <w:color w:val="333333"/>
          <w:kern w:val="0"/>
          <w:szCs w:val="21"/>
        </w:rPr>
        <w:t xml:space="preserve"> </w:t>
      </w:r>
      <w:hyperlink r:id="rId5" w:history="1">
        <w:r w:rsidRPr="00BA4E4C">
          <w:rPr>
            <w:rFonts w:ascii="Arial" w:eastAsia="宋体" w:hAnsi="Arial" w:cs="Arial"/>
            <w:vanish/>
            <w:color w:val="333333"/>
            <w:kern w:val="0"/>
            <w:szCs w:val="21"/>
          </w:rPr>
          <w:t>A-</w:t>
        </w:r>
      </w:hyperlink>
      <w:r w:rsidRPr="00BA4E4C">
        <w:rPr>
          <w:rFonts w:ascii="Arial" w:eastAsia="宋体" w:hAnsi="Arial" w:cs="Arial"/>
          <w:vanish/>
          <w:color w:val="333333"/>
          <w:kern w:val="0"/>
          <w:szCs w:val="21"/>
        </w:rPr>
        <w:t xml:space="preserve"> </w:t>
      </w:r>
    </w:p>
    <w:p w:rsidR="00BA4E4C" w:rsidRPr="00BA4E4C" w:rsidRDefault="00BA4E4C" w:rsidP="00BA4E4C">
      <w:pPr>
        <w:widowControl/>
        <w:shd w:val="clear" w:color="auto" w:fill="FDFDFD"/>
        <w:spacing w:before="100" w:beforeAutospacing="1" w:after="100" w:afterAutospacing="1"/>
        <w:jc w:val="left"/>
        <w:rPr>
          <w:rFonts w:ascii="Arial" w:eastAsia="宋体" w:hAnsi="Arial" w:cs="Arial"/>
          <w:vanish/>
          <w:color w:val="333333"/>
          <w:kern w:val="0"/>
          <w:szCs w:val="21"/>
        </w:rPr>
      </w:pPr>
      <w:hyperlink r:id="rId6" w:history="1">
        <w:r w:rsidRPr="00BA4E4C">
          <w:rPr>
            <w:rFonts w:ascii="Arial" w:eastAsia="宋体" w:hAnsi="Arial" w:cs="Arial"/>
            <w:vanish/>
            <w:color w:val="333333"/>
            <w:kern w:val="0"/>
            <w:szCs w:val="21"/>
          </w:rPr>
          <w:t>夜晚模式</w:t>
        </w:r>
      </w:hyperlink>
      <w:r w:rsidRPr="00BA4E4C">
        <w:rPr>
          <w:rFonts w:ascii="Arial" w:eastAsia="宋体" w:hAnsi="Arial" w:cs="Arial"/>
          <w:vanish/>
          <w:color w:val="333333"/>
          <w:kern w:val="0"/>
          <w:szCs w:val="21"/>
        </w:rPr>
        <w:t xml:space="preserve"> </w:t>
      </w:r>
    </w:p>
    <w:p w:rsidR="00BA4E4C" w:rsidRPr="00BA4E4C" w:rsidRDefault="00BA4E4C" w:rsidP="00BA4E4C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宋体" w:eastAsia="宋体" w:hAnsi="宋体" w:cs="宋体"/>
          <w:color w:val="333333"/>
          <w:kern w:val="0"/>
          <w:sz w:val="23"/>
          <w:szCs w:val="23"/>
        </w:rPr>
        <w:t> </w:t>
      </w: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各单位、各部门：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55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经学校研究决定，2017年离退休人员及教职工体检工作定于2017年4月10日至2017年6月9日进行。此次</w:t>
      </w:r>
      <w:proofErr w:type="gramStart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体检仍</w:t>
      </w:r>
      <w:proofErr w:type="gramEnd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与徐州市</w:t>
      </w:r>
      <w:bookmarkStart w:id="0" w:name="_GoBack"/>
      <w:bookmarkEnd w:id="0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中心医院及南京市第一医院临床核医学中心合作，共同为我校离退休人员和教职工做好健康体检工作。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55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现将体检相关事宜通知如下：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64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一、</w:t>
      </w:r>
      <w:r w:rsidRPr="00BA4E4C">
        <w:rPr>
          <w:rFonts w:ascii="仿宋" w:eastAsia="仿宋" w:hAnsi="仿宋" w:cs="Times New Roman" w:hint="eastAsia"/>
          <w:color w:val="333333"/>
          <w:sz w:val="29"/>
          <w:szCs w:val="29"/>
        </w:rPr>
        <w:t>成立2017年教职工体检工作领导小组：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64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sz w:val="29"/>
          <w:szCs w:val="29"/>
        </w:rPr>
        <w:t xml:space="preserve"> 组长：钱进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64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sz w:val="29"/>
          <w:szCs w:val="29"/>
        </w:rPr>
        <w:t xml:space="preserve"> 组员：刘礼明、潘永亮、吕建刚、韩冰、石学云、张素琴、张媛媛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64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sz w:val="29"/>
          <w:szCs w:val="29"/>
        </w:rPr>
        <w:t>二、体检项目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55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sz w:val="29"/>
          <w:szCs w:val="29"/>
        </w:rPr>
        <w:t>1.常规项目：</w:t>
      </w:r>
      <w:r w:rsidRPr="00BA4E4C">
        <w:rPr>
          <w:rFonts w:ascii="仿宋" w:eastAsia="仿宋" w:hAnsi="仿宋" w:cs="Times New Roman" w:hint="eastAsia"/>
          <w:color w:val="333333"/>
          <w:sz w:val="29"/>
          <w:szCs w:val="29"/>
          <w:shd w:val="clear" w:color="auto" w:fill="FFFFFF"/>
        </w:rPr>
        <w:t>内科、外科、血压、数字化X线摄影（新添置先进DR设备）、血糖、血脂全套、肝功能+二对半、肾功能、血尿酸、甲胎蛋白定量（AFP）、癌胚抗原定量（CEA）、男性前列腺癌二项、女性卵巢癌、乳腺癌肿瘤标记物、心电图、肝胆</w:t>
      </w:r>
      <w:proofErr w:type="gramStart"/>
      <w:r w:rsidRPr="00BA4E4C">
        <w:rPr>
          <w:rFonts w:ascii="仿宋" w:eastAsia="仿宋" w:hAnsi="仿宋" w:cs="Times New Roman" w:hint="eastAsia"/>
          <w:color w:val="333333"/>
          <w:sz w:val="29"/>
          <w:szCs w:val="29"/>
          <w:shd w:val="clear" w:color="auto" w:fill="FFFFFF"/>
        </w:rPr>
        <w:t>胰</w:t>
      </w:r>
      <w:proofErr w:type="gramEnd"/>
      <w:r w:rsidRPr="00BA4E4C">
        <w:rPr>
          <w:rFonts w:ascii="仿宋" w:eastAsia="仿宋" w:hAnsi="仿宋" w:cs="Times New Roman" w:hint="eastAsia"/>
          <w:color w:val="333333"/>
          <w:sz w:val="29"/>
          <w:szCs w:val="29"/>
          <w:shd w:val="clear" w:color="auto" w:fill="FFFFFF"/>
        </w:rPr>
        <w:t>脾肾及甲状腺彩色多普勒超声检查。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55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sz w:val="29"/>
          <w:szCs w:val="29"/>
          <w:shd w:val="clear" w:color="auto" w:fill="FFFFFF"/>
        </w:rPr>
        <w:t>2.</w:t>
      </w:r>
      <w:r w:rsidRPr="00BA4E4C">
        <w:rPr>
          <w:rFonts w:ascii="仿宋" w:eastAsia="仿宋" w:hAnsi="仿宋" w:cs="Times New Roman" w:hint="eastAsia"/>
          <w:color w:val="333333"/>
          <w:sz w:val="29"/>
          <w:szCs w:val="29"/>
        </w:rPr>
        <w:t>新增加项目：血常规检查。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55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sz w:val="29"/>
          <w:szCs w:val="29"/>
        </w:rPr>
        <w:t>3.</w:t>
      </w:r>
      <w:r w:rsidRPr="00BA4E4C">
        <w:rPr>
          <w:rFonts w:ascii="仿宋" w:eastAsia="仿宋" w:hAnsi="仿宋" w:cs="Times New Roman" w:hint="eastAsia"/>
          <w:b/>
          <w:bCs/>
          <w:color w:val="333333"/>
          <w:kern w:val="0"/>
          <w:sz w:val="29"/>
          <w:szCs w:val="29"/>
          <w:shd w:val="clear" w:color="auto" w:fill="FFFFFF"/>
        </w:rPr>
        <w:t>延伸增加检查项目</w:t>
      </w: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：为满足我校部分老师体检需求，如有意愿参加以下项目体检，可于此期间至校医院缴费后凭缴费发票参检。</w:t>
      </w:r>
    </w:p>
    <w:p w:rsidR="00BA4E4C" w:rsidRPr="00BA4E4C" w:rsidRDefault="00BA4E4C" w:rsidP="00BA4E4C">
      <w:pPr>
        <w:widowControl/>
        <w:shd w:val="clear" w:color="auto" w:fill="FFFFFF"/>
        <w:autoSpaceDE w:val="0"/>
        <w:spacing w:line="360" w:lineRule="auto"/>
        <w:ind w:firstLine="555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b/>
          <w:bCs/>
          <w:color w:val="333333"/>
          <w:kern w:val="0"/>
          <w:sz w:val="29"/>
          <w:szCs w:val="29"/>
          <w:shd w:val="clear" w:color="auto" w:fill="FFFFFF"/>
        </w:rPr>
        <w:t>1）</w:t>
      </w:r>
      <w:proofErr w:type="gramStart"/>
      <w:r w:rsidRPr="00BA4E4C">
        <w:rPr>
          <w:rFonts w:ascii="仿宋" w:eastAsia="仿宋" w:hAnsi="仿宋" w:cs="Times New Roman" w:hint="eastAsia"/>
          <w:b/>
          <w:bCs/>
          <w:color w:val="333333"/>
          <w:kern w:val="0"/>
          <w:sz w:val="29"/>
          <w:szCs w:val="29"/>
          <w:shd w:val="clear" w:color="auto" w:fill="FFFFFF"/>
        </w:rPr>
        <w:t>加检时间</w:t>
      </w:r>
      <w:proofErr w:type="gramEnd"/>
      <w:r w:rsidRPr="00BA4E4C">
        <w:rPr>
          <w:rFonts w:ascii="仿宋" w:eastAsia="仿宋" w:hAnsi="仿宋" w:cs="Times New Roman" w:hint="eastAsia"/>
          <w:b/>
          <w:bCs/>
          <w:color w:val="333333"/>
          <w:kern w:val="0"/>
          <w:sz w:val="29"/>
          <w:szCs w:val="29"/>
          <w:shd w:val="clear" w:color="auto" w:fill="FFFFFF"/>
        </w:rPr>
        <w:t>：</w:t>
      </w: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6月12日-16日，上午8:00-11:00</w:t>
      </w:r>
    </w:p>
    <w:p w:rsidR="00BA4E4C" w:rsidRPr="00BA4E4C" w:rsidRDefault="00BA4E4C" w:rsidP="00BA4E4C">
      <w:pPr>
        <w:widowControl/>
        <w:shd w:val="clear" w:color="auto" w:fill="FFFFFF"/>
        <w:autoSpaceDE w:val="0"/>
        <w:spacing w:line="360" w:lineRule="auto"/>
        <w:ind w:firstLine="555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b/>
          <w:bCs/>
          <w:color w:val="333333"/>
          <w:kern w:val="0"/>
          <w:sz w:val="29"/>
          <w:szCs w:val="29"/>
          <w:shd w:val="clear" w:color="auto" w:fill="FFFFFF"/>
        </w:rPr>
        <w:lastRenderedPageBreak/>
        <w:t>2）针对人群：</w:t>
      </w: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疑似甲状腺疾病或已确诊需复查者、疑似糖尿病患者或已确诊糖尿病需复查者、血常规检查异常需复查者及其他相关需要检查人员。</w:t>
      </w:r>
    </w:p>
    <w:p w:rsidR="00BA4E4C" w:rsidRPr="00BA4E4C" w:rsidRDefault="00BA4E4C" w:rsidP="00BA4E4C">
      <w:pPr>
        <w:widowControl/>
        <w:shd w:val="clear" w:color="auto" w:fill="FFFFFF"/>
        <w:autoSpaceDE w:val="0"/>
        <w:spacing w:line="360" w:lineRule="auto"/>
        <w:ind w:firstLine="555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b/>
          <w:bCs/>
          <w:color w:val="333333"/>
          <w:kern w:val="0"/>
          <w:sz w:val="29"/>
          <w:szCs w:val="29"/>
          <w:shd w:val="clear" w:color="auto" w:fill="FFFFFF"/>
        </w:rPr>
        <w:t>3）费用支付方式及标准</w:t>
      </w: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：</w:t>
      </w:r>
      <w:proofErr w:type="gramStart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由于加检项目</w:t>
      </w:r>
      <w:proofErr w:type="gramEnd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不在学校提供的普查项目内，且是外检项目，所以费用需要检查者自行承担（可刷</w:t>
      </w:r>
      <w:proofErr w:type="gramStart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医</w:t>
      </w:r>
      <w:proofErr w:type="gramEnd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保卡）。收费标准按照市场价的70%收取。</w:t>
      </w:r>
    </w:p>
    <w:p w:rsidR="00BA4E4C" w:rsidRPr="00BA4E4C" w:rsidRDefault="00BA4E4C" w:rsidP="00BA4E4C">
      <w:pPr>
        <w:widowControl/>
        <w:shd w:val="clear" w:color="auto" w:fill="FFFFFF"/>
        <w:autoSpaceDE w:val="0"/>
        <w:spacing w:line="360" w:lineRule="auto"/>
        <w:ind w:firstLine="555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b/>
          <w:bCs/>
          <w:color w:val="333333"/>
          <w:kern w:val="0"/>
          <w:sz w:val="29"/>
          <w:szCs w:val="29"/>
          <w:shd w:val="clear" w:color="auto" w:fill="FFFFFF"/>
        </w:rPr>
        <w:t>举例</w:t>
      </w: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：</w:t>
      </w:r>
      <w:proofErr w:type="gramStart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加检甲状腺肿</w:t>
      </w:r>
      <w:proofErr w:type="gramEnd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瘤五项（FT3、FT4、TSH、</w:t>
      </w:r>
      <w:proofErr w:type="spellStart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TGAb</w:t>
      </w:r>
      <w:proofErr w:type="spellEnd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、HTG）在徐州市中心医院检查费用为215元，如在校医院体检则收70%，也就是150.5元，为检查者节省64.5元。</w:t>
      </w:r>
    </w:p>
    <w:p w:rsidR="00BA4E4C" w:rsidRPr="00BA4E4C" w:rsidRDefault="00BA4E4C" w:rsidP="00BA4E4C">
      <w:pPr>
        <w:widowControl/>
        <w:shd w:val="clear" w:color="auto" w:fill="FFFFFF"/>
        <w:ind w:left="1065"/>
        <w:jc w:val="center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BA4E4C">
        <w:rPr>
          <w:rFonts w:ascii="宋体" w:eastAsia="宋体" w:hAnsi="宋体" w:cs="Arial" w:hint="eastAsia"/>
          <w:b/>
          <w:bCs/>
          <w:color w:val="333333"/>
          <w:kern w:val="0"/>
          <w:szCs w:val="21"/>
          <w:shd w:val="clear" w:color="auto" w:fill="FFFFFF"/>
        </w:rPr>
        <w:t>2017教职工体检延伸增加检查项目列表</w:t>
      </w:r>
    </w:p>
    <w:tbl>
      <w:tblPr>
        <w:tblW w:w="1032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"/>
        <w:gridCol w:w="2535"/>
        <w:gridCol w:w="2160"/>
        <w:gridCol w:w="1605"/>
        <w:gridCol w:w="1740"/>
        <w:gridCol w:w="1575"/>
      </w:tblGrid>
      <w:tr w:rsidR="00BA4E4C" w:rsidRPr="00BA4E4C" w:rsidTr="00BA4E4C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proofErr w:type="gramStart"/>
            <w:r w:rsidRPr="00BA4E4C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加检项目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临床意义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外院收费标准（单位：元/人）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校医院收费标准（单位：元/人）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可节省费用（单位：元/人）</w:t>
            </w:r>
          </w:p>
        </w:tc>
      </w:tr>
      <w:tr w:rsidR="00BA4E4C" w:rsidRPr="00BA4E4C" w:rsidTr="00BA4E4C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糖化血红蛋白（</w:t>
            </w:r>
            <w:proofErr w:type="spellStart"/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HBAlc</w:t>
            </w:r>
            <w:proofErr w:type="spellEnd"/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proofErr w:type="gramStart"/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反应近</w:t>
            </w:r>
            <w:proofErr w:type="gramEnd"/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2个月的平均血糖浓度，用于糖尿病疗效观察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18</w:t>
            </w:r>
          </w:p>
        </w:tc>
      </w:tr>
      <w:tr w:rsidR="00BA4E4C" w:rsidRPr="00BA4E4C" w:rsidTr="00BA4E4C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proofErr w:type="gramStart"/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甲功三项</w:t>
            </w:r>
            <w:proofErr w:type="gramEnd"/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（T3、T4、TSH）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判断甲状腺功能、甲亢、甲减诊断治疗监测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84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36</w:t>
            </w:r>
          </w:p>
        </w:tc>
      </w:tr>
      <w:tr w:rsidR="00BA4E4C" w:rsidRPr="00BA4E4C" w:rsidTr="00BA4E4C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甲状腺抗体三项（TR-Ab、TG-Ab、TPO-Ab）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判断甲状腺功能、鉴别免疫性疾病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165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115.50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49.50</w:t>
            </w:r>
          </w:p>
        </w:tc>
      </w:tr>
      <w:tr w:rsidR="00BA4E4C" w:rsidRPr="00BA4E4C" w:rsidTr="00BA4E4C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甲状腺肿瘤五项（FT3、FT4、TSH、</w:t>
            </w:r>
            <w:proofErr w:type="spellStart"/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TGAb</w:t>
            </w:r>
            <w:proofErr w:type="spellEnd"/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、HTG）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甲状腺肿瘤患者的治疗及疗效评价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215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150.50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64.50</w:t>
            </w:r>
          </w:p>
        </w:tc>
      </w:tr>
      <w:tr w:rsidR="00BA4E4C" w:rsidRPr="00BA4E4C" w:rsidTr="00BA4E4C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proofErr w:type="gramStart"/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甲功七项</w:t>
            </w:r>
            <w:proofErr w:type="gramEnd"/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（T3、T4、FT3、FT4、TSH、TG-Ab、TPO-Ab）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判断甲状腺功能及甲状腺疾病病因的检测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305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213.50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4E4C" w:rsidRPr="00BA4E4C" w:rsidRDefault="00BA4E4C" w:rsidP="00BA4E4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3"/>
                <w:szCs w:val="23"/>
              </w:rPr>
            </w:pPr>
            <w:r w:rsidRPr="00BA4E4C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91.50</w:t>
            </w:r>
          </w:p>
        </w:tc>
      </w:tr>
    </w:tbl>
    <w:p w:rsidR="00BA4E4C" w:rsidRPr="00BA4E4C" w:rsidRDefault="00BA4E4C" w:rsidP="00BA4E4C">
      <w:pPr>
        <w:widowControl/>
        <w:shd w:val="clear" w:color="auto" w:fill="FFFFFF"/>
        <w:autoSpaceDE w:val="0"/>
        <w:spacing w:line="360" w:lineRule="auto"/>
        <w:ind w:firstLine="600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BA4E4C">
        <w:rPr>
          <w:rFonts w:ascii="Times New Roman" w:eastAsia="宋体" w:hAnsi="Times New Roman" w:cs="Times New Roman"/>
          <w:color w:val="333333"/>
          <w:kern w:val="0"/>
          <w:sz w:val="30"/>
          <w:szCs w:val="30"/>
          <w:shd w:val="clear" w:color="auto" w:fill="FFFFFF"/>
        </w:rPr>
        <w:t>4.</w:t>
      </w: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提升服务：</w:t>
      </w:r>
      <w:proofErr w:type="gramStart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设立微哨查询</w:t>
      </w:r>
      <w:proofErr w:type="gramEnd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平台。2017年教职工体检除一如既往做好电话随访和专家答疑工作外，今年和本校信息中心合作，教职工可于体检结束后一周凭本人</w:t>
      </w:r>
      <w:proofErr w:type="gramStart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一</w:t>
      </w:r>
      <w:proofErr w:type="gramEnd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卡通账号和密码</w:t>
      </w:r>
      <w:proofErr w:type="gramStart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登录微哨查询</w:t>
      </w:r>
      <w:proofErr w:type="gramEnd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本人最新的体检结果。</w:t>
      </w:r>
    </w:p>
    <w:p w:rsidR="00BA4E4C" w:rsidRPr="00BA4E4C" w:rsidRDefault="00BA4E4C" w:rsidP="00BA4E4C">
      <w:pPr>
        <w:widowControl/>
        <w:shd w:val="clear" w:color="auto" w:fill="FFFFFF"/>
        <w:autoSpaceDE w:val="0"/>
        <w:spacing w:line="360" w:lineRule="auto"/>
        <w:ind w:firstLine="600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三、体检相关说明：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55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1.请各单位、各部门务必通知到每位教职工，严格对照《2017</w:t>
      </w: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lastRenderedPageBreak/>
        <w:t>教职工体检时间安排表》的要求按照规定时间参加体检。未按照《2017教职工体检时间安排表》的安排前来参加体检的，将一律不予安排。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55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2.如果确因特殊原因未能在规定时间内参加体检者，请于2017年6月9日参加扫尾补检。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55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3.体检前请详细阅读体检注意事项。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55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4.静脉</w:t>
      </w:r>
      <w:proofErr w:type="gramStart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采血须</w:t>
      </w:r>
      <w:proofErr w:type="gramEnd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空腹，时间为上午7:30—-9:00，超过9：00不予采血。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55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5.如正教授有意自愿参加外送项目（AFP、CEA、C125、C153、t-PSA、f-PSA)体检，可致电校医院公共卫生办公室提前预约，联系电话：83536567（办公电话），联系人：杨老师。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55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6.由于体检期间，人员紧张，故泉山校区</w:t>
      </w:r>
      <w:proofErr w:type="gramStart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泉东医疗</w:t>
      </w:r>
      <w:proofErr w:type="gramEnd"/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点（11号教学楼）门诊暂停，待教职工体检结束，恢复正常。泉南医疗点（学生宿舍17号楼一楼）正常开放。不便之处，敬请谅解！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555"/>
        <w:jc w:val="righ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校工会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555"/>
        <w:jc w:val="righ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校人事处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555"/>
        <w:jc w:val="righ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后勤管理处</w:t>
      </w:r>
    </w:p>
    <w:p w:rsidR="00BA4E4C" w:rsidRPr="00BA4E4C" w:rsidRDefault="00BA4E4C" w:rsidP="00BA4E4C">
      <w:pPr>
        <w:shd w:val="clear" w:color="auto" w:fill="FFFFFF"/>
        <w:autoSpaceDE w:val="0"/>
        <w:spacing w:line="360" w:lineRule="auto"/>
        <w:ind w:firstLine="555"/>
        <w:jc w:val="righ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宋体" w:hint="eastAsia"/>
          <w:color w:val="333333"/>
          <w:kern w:val="0"/>
          <w:sz w:val="29"/>
          <w:szCs w:val="29"/>
          <w:shd w:val="clear" w:color="auto" w:fill="FFFFFF"/>
        </w:rPr>
        <w:t>校医院</w:t>
      </w:r>
    </w:p>
    <w:p w:rsidR="00BA4E4C" w:rsidRPr="00BA4E4C" w:rsidRDefault="00BA4E4C" w:rsidP="00BA4E4C">
      <w:pPr>
        <w:widowControl/>
        <w:shd w:val="clear" w:color="auto" w:fill="FFFFFF"/>
        <w:jc w:val="righ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A4E4C">
        <w:rPr>
          <w:rFonts w:ascii="仿宋" w:eastAsia="仿宋" w:hAnsi="仿宋" w:cs="Times New Roman" w:hint="eastAsia"/>
          <w:color w:val="333333"/>
          <w:kern w:val="0"/>
          <w:sz w:val="29"/>
          <w:szCs w:val="29"/>
          <w:shd w:val="clear" w:color="auto" w:fill="FFFFFF"/>
        </w:rPr>
        <w:t>2017年3月31日</w:t>
      </w:r>
    </w:p>
    <w:p w:rsidR="00020F13" w:rsidRDefault="00020F13"/>
    <w:sectPr w:rsidR="00020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5A"/>
    <w:rsid w:val="00020F13"/>
    <w:rsid w:val="004E655A"/>
    <w:rsid w:val="00BA4E4C"/>
    <w:rsid w:val="00F416AC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A4E4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4E4C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A4E4C"/>
    <w:rPr>
      <w:strike w:val="0"/>
      <w:dstrike w:val="0"/>
      <w:color w:val="333333"/>
      <w:u w:val="none"/>
      <w:effect w:val="none"/>
    </w:rPr>
  </w:style>
  <w:style w:type="paragraph" w:customStyle="1" w:styleId="arti-metas1">
    <w:name w:val="arti-metas1"/>
    <w:basedOn w:val="a"/>
    <w:rsid w:val="00BA4E4C"/>
    <w:pPr>
      <w:widowControl/>
      <w:spacing w:before="100" w:beforeAutospacing="1" w:after="100" w:afterAutospacing="1" w:line="240" w:lineRule="atLeast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setting-item1">
    <w:name w:val="setting-item1"/>
    <w:basedOn w:val="a"/>
    <w:rsid w:val="00BA4E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customStyle="1" w:styleId="wpvisitcount1">
    <w:name w:val="wp_visitcount1"/>
    <w:basedOn w:val="a0"/>
    <w:rsid w:val="00BA4E4C"/>
    <w:rPr>
      <w:vanish/>
      <w:webHidden w:val="0"/>
      <w:color w:val="787878"/>
      <w:sz w:val="18"/>
      <w:szCs w:val="18"/>
      <w:specVanish w:val="0"/>
    </w:rPr>
  </w:style>
  <w:style w:type="character" w:styleId="a4">
    <w:name w:val="Strong"/>
    <w:basedOn w:val="a0"/>
    <w:uiPriority w:val="22"/>
    <w:qFormat/>
    <w:rsid w:val="00BA4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A4E4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4E4C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A4E4C"/>
    <w:rPr>
      <w:strike w:val="0"/>
      <w:dstrike w:val="0"/>
      <w:color w:val="333333"/>
      <w:u w:val="none"/>
      <w:effect w:val="none"/>
    </w:rPr>
  </w:style>
  <w:style w:type="paragraph" w:customStyle="1" w:styleId="arti-metas1">
    <w:name w:val="arti-metas1"/>
    <w:basedOn w:val="a"/>
    <w:rsid w:val="00BA4E4C"/>
    <w:pPr>
      <w:widowControl/>
      <w:spacing w:before="100" w:beforeAutospacing="1" w:after="100" w:afterAutospacing="1" w:line="240" w:lineRule="atLeast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setting-item1">
    <w:name w:val="setting-item1"/>
    <w:basedOn w:val="a"/>
    <w:rsid w:val="00BA4E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customStyle="1" w:styleId="wpvisitcount1">
    <w:name w:val="wp_visitcount1"/>
    <w:basedOn w:val="a0"/>
    <w:rsid w:val="00BA4E4C"/>
    <w:rPr>
      <w:vanish/>
      <w:webHidden w:val="0"/>
      <w:color w:val="787878"/>
      <w:sz w:val="18"/>
      <w:szCs w:val="18"/>
      <w:specVanish w:val="0"/>
    </w:rPr>
  </w:style>
  <w:style w:type="character" w:styleId="a4">
    <w:name w:val="Strong"/>
    <w:basedOn w:val="a0"/>
    <w:uiPriority w:val="22"/>
    <w:qFormat/>
    <w:rsid w:val="00BA4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8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52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1F1F1"/>
                            <w:right w:val="none" w:sz="0" w:space="0" w:color="auto"/>
                          </w:divBdr>
                        </w:div>
                        <w:div w:id="110651021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3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2017-03-31T07:11:00Z</dcterms:created>
  <dcterms:modified xsi:type="dcterms:W3CDTF">2017-03-31T07:12:00Z</dcterms:modified>
</cp:coreProperties>
</file>