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83" w:rsidRPr="004D5053" w:rsidRDefault="004A6D83" w:rsidP="004A6D83">
      <w:pPr>
        <w:pStyle w:val="a3"/>
        <w:shd w:val="clear" w:color="auto" w:fill="FFFFFF"/>
        <w:spacing w:before="60" w:beforeAutospacing="0" w:after="165" w:afterAutospacing="0" w:line="338" w:lineRule="atLeast"/>
        <w:jc w:val="center"/>
        <w:rPr>
          <w:rFonts w:ascii="仿宋_gb2312" w:eastAsia="仿宋_gb2312" w:hAnsi="微软雅黑"/>
          <w:color w:val="000000"/>
          <w:sz w:val="29"/>
          <w:szCs w:val="29"/>
        </w:rPr>
      </w:pPr>
      <w:r w:rsidRPr="004D5053">
        <w:rPr>
          <w:rFonts w:ascii="仿宋_gb2312" w:eastAsia="仿宋_gb2312" w:hAnsi="微软雅黑" w:hint="eastAsia"/>
          <w:color w:val="000000"/>
          <w:sz w:val="29"/>
          <w:szCs w:val="29"/>
        </w:rPr>
        <w:t>关于组织参加第</w:t>
      </w:r>
      <w:r w:rsidR="00B3660F" w:rsidRPr="004D5053">
        <w:rPr>
          <w:rFonts w:ascii="仿宋_gb2312" w:eastAsia="仿宋_gb2312" w:hAnsi="微软雅黑" w:hint="eastAsia"/>
          <w:color w:val="000000"/>
          <w:sz w:val="29"/>
          <w:szCs w:val="29"/>
        </w:rPr>
        <w:t>十</w:t>
      </w:r>
      <w:r w:rsidRPr="004D5053">
        <w:rPr>
          <w:rFonts w:ascii="仿宋_gb2312" w:eastAsia="仿宋_gb2312" w:hAnsi="微软雅黑" w:hint="eastAsia"/>
          <w:color w:val="000000"/>
          <w:sz w:val="29"/>
          <w:szCs w:val="29"/>
        </w:rPr>
        <w:t>届全国大学生数学竞赛的通知</w:t>
      </w:r>
    </w:p>
    <w:p w:rsidR="004A6D83" w:rsidRPr="004D5053" w:rsidRDefault="004A6D83" w:rsidP="004A6D83">
      <w:pPr>
        <w:pStyle w:val="a3"/>
        <w:shd w:val="clear" w:color="auto" w:fill="FFFFFF"/>
        <w:spacing w:before="60" w:beforeAutospacing="0" w:after="165" w:afterAutospacing="0" w:line="338" w:lineRule="atLeast"/>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各相关学院：</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为进一步推动和促进高等学校数学课程改革与建设，增强大学生的数学学习兴趣，培养大学生分析与解决问题的能力，发现、选拔数学创新人才，为青年学子提供一个展示基础知识和思维能力的舞台。全国大学生数学竞赛委员会决定举办第九届全国大学生数学竞赛，现将我校参赛有关事项通知如下。</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一、参赛对象</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我校大学本科二年级或二年级以上的在校大学生。竞赛分为非数学专业组和数学专业组。数学专业学生不得参加非数学专业组的竞赛。</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二、竞赛时间</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大赛分初赛与决赛两个阶段：</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初赛时间：201</w:t>
      </w:r>
      <w:r w:rsidR="00B3660F"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年10月2</w:t>
      </w:r>
      <w:r w:rsidR="00B3660F" w:rsidRPr="004D5053">
        <w:rPr>
          <w:rFonts w:ascii="仿宋_gb2312" w:eastAsia="仿宋_gb2312" w:hAnsi="微软雅黑" w:hint="eastAsia"/>
          <w:color w:val="000000"/>
          <w:sz w:val="29"/>
          <w:szCs w:val="29"/>
        </w:rPr>
        <w:t>7</w:t>
      </w:r>
      <w:r w:rsidRPr="004D5053">
        <w:rPr>
          <w:rFonts w:ascii="仿宋_gb2312" w:eastAsia="仿宋_gb2312" w:hAnsi="微软雅黑" w:hint="eastAsia"/>
          <w:color w:val="000000"/>
          <w:sz w:val="29"/>
          <w:szCs w:val="29"/>
        </w:rPr>
        <w:t>日上午9:00-11:30。</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决赛时间：201</w:t>
      </w:r>
      <w:r w:rsidR="00B3660F" w:rsidRPr="004D5053">
        <w:rPr>
          <w:rFonts w:ascii="仿宋_gb2312" w:eastAsia="仿宋_gb2312" w:hAnsi="微软雅黑" w:hint="eastAsia"/>
          <w:color w:val="000000"/>
          <w:sz w:val="29"/>
          <w:szCs w:val="29"/>
        </w:rPr>
        <w:t>9</w:t>
      </w:r>
      <w:r w:rsidRPr="004D5053">
        <w:rPr>
          <w:rFonts w:ascii="仿宋_gb2312" w:eastAsia="仿宋_gb2312" w:hAnsi="微软雅黑" w:hint="eastAsia"/>
          <w:color w:val="000000"/>
          <w:sz w:val="29"/>
          <w:szCs w:val="29"/>
        </w:rPr>
        <w:t>年3月</w:t>
      </w:r>
      <w:r w:rsidR="00B3660F" w:rsidRPr="004D5053">
        <w:rPr>
          <w:rFonts w:ascii="仿宋_gb2312" w:eastAsia="仿宋_gb2312" w:hAnsi="微软雅黑" w:hint="eastAsia"/>
          <w:color w:val="000000"/>
          <w:sz w:val="29"/>
          <w:szCs w:val="29"/>
        </w:rPr>
        <w:t>30</w:t>
      </w:r>
      <w:r w:rsidRPr="004D5053">
        <w:rPr>
          <w:rFonts w:ascii="仿宋_gb2312" w:eastAsia="仿宋_gb2312" w:hAnsi="微软雅黑" w:hint="eastAsia"/>
          <w:color w:val="000000"/>
          <w:sz w:val="29"/>
          <w:szCs w:val="29"/>
        </w:rPr>
        <w:t>日上午8:30-11:30。</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三、竞赛内容</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1.数学专业组</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数学专业组预赛内容含数学分析、高等代数和解析几何，所占比重分别为50%、35%及15%左右。决赛试卷分为两类：(</w:t>
      </w:r>
      <w:r w:rsidRPr="004D5053">
        <w:rPr>
          <w:rFonts w:ascii="微软雅黑" w:eastAsia="微软雅黑" w:hAnsi="微软雅黑" w:hint="eastAsia"/>
          <w:color w:val="000000"/>
          <w:sz w:val="29"/>
          <w:szCs w:val="29"/>
        </w:rPr>
        <w:t>ⅰ</w:t>
      </w:r>
      <w:r w:rsidRPr="004D5053">
        <w:rPr>
          <w:rFonts w:ascii="仿宋_gb2312" w:eastAsia="仿宋_gb2312" w:hAnsi="微软雅黑" w:hint="eastAsia"/>
          <w:color w:val="000000"/>
          <w:sz w:val="29"/>
          <w:szCs w:val="29"/>
        </w:rPr>
        <w:t>)大二学</w:t>
      </w:r>
      <w:r w:rsidRPr="004D5053">
        <w:rPr>
          <w:rFonts w:ascii="仿宋_gb2312" w:eastAsia="仿宋_gb2312" w:hAnsi="微软雅黑" w:hint="eastAsia"/>
          <w:color w:val="000000"/>
          <w:sz w:val="29"/>
          <w:szCs w:val="29"/>
        </w:rPr>
        <w:lastRenderedPageBreak/>
        <w:t>生：在预赛所考内容的基础上增加常微分方程（考分所占总分的15%左右）。(</w:t>
      </w:r>
      <w:r w:rsidRPr="004D5053">
        <w:rPr>
          <w:rFonts w:ascii="微软雅黑" w:eastAsia="微软雅黑" w:hAnsi="微软雅黑" w:hint="eastAsia"/>
          <w:color w:val="000000"/>
          <w:sz w:val="29"/>
          <w:szCs w:val="29"/>
        </w:rPr>
        <w:t>ⅱ</w:t>
      </w:r>
      <w:r w:rsidRPr="004D5053">
        <w:rPr>
          <w:rFonts w:ascii="仿宋_gb2312" w:eastAsia="仿宋_gb2312" w:hAnsi="微软雅黑" w:hint="eastAsia"/>
          <w:color w:val="000000"/>
          <w:sz w:val="29"/>
          <w:szCs w:val="29"/>
        </w:rPr>
        <w:t>)大三及以上年级学生：在大二学生考试内容的基础上，增加实变函数、复变函数、抽象代数、数值分析、微分几何、概率论等内容。由学生任选其中</w:t>
      </w:r>
      <w:r w:rsidR="00B3660F" w:rsidRPr="004D5053">
        <w:rPr>
          <w:rFonts w:ascii="仿宋_gb2312" w:eastAsia="仿宋_gb2312" w:hAnsi="微软雅黑" w:hint="eastAsia"/>
          <w:color w:val="000000"/>
          <w:sz w:val="29"/>
          <w:szCs w:val="29"/>
        </w:rPr>
        <w:t>三门课程</w:t>
      </w:r>
      <w:r w:rsidRPr="004D5053">
        <w:rPr>
          <w:rFonts w:ascii="仿宋_gb2312" w:eastAsia="仿宋_gb2312" w:hAnsi="微软雅黑" w:hint="eastAsia"/>
          <w:color w:val="000000"/>
          <w:sz w:val="29"/>
          <w:szCs w:val="29"/>
        </w:rPr>
        <w:t>。以上考题所涉及的各科内容，均不超出数学专业本科或理工科本科相应课程教学大纲规定的教学内容。</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2.非数学专业组</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预赛考本科高等数学内容。决赛时在预赛的基础上增加线性代数内容（考分约占总分的20%）。</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四、报名办法及收费标准</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各学院以院为单位于</w:t>
      </w:r>
      <w:r w:rsidR="00B3660F" w:rsidRPr="004D5053">
        <w:rPr>
          <w:rFonts w:ascii="仿宋_gb2312" w:eastAsia="仿宋_gb2312" w:hAnsi="微软雅黑" w:hint="eastAsia"/>
          <w:color w:val="000000"/>
          <w:sz w:val="29"/>
          <w:szCs w:val="29"/>
        </w:rPr>
        <w:t>6</w:t>
      </w:r>
      <w:r w:rsidRPr="004D5053">
        <w:rPr>
          <w:rFonts w:ascii="仿宋_gb2312" w:eastAsia="仿宋_gb2312" w:hAnsi="微软雅黑" w:hint="eastAsia"/>
          <w:color w:val="000000"/>
          <w:sz w:val="29"/>
          <w:szCs w:val="29"/>
        </w:rPr>
        <w:t>月</w:t>
      </w:r>
      <w:r w:rsidR="006D5A09">
        <w:rPr>
          <w:rFonts w:ascii="仿宋_gb2312" w:eastAsia="仿宋_gb2312" w:hAnsi="微软雅黑" w:hint="eastAsia"/>
          <w:color w:val="000000"/>
          <w:sz w:val="29"/>
          <w:szCs w:val="29"/>
        </w:rPr>
        <w:t>27</w:t>
      </w:r>
      <w:r w:rsidRPr="004D5053">
        <w:rPr>
          <w:rFonts w:ascii="仿宋_gb2312" w:eastAsia="仿宋_gb2312" w:hAnsi="微软雅黑" w:hint="eastAsia"/>
          <w:color w:val="000000"/>
          <w:sz w:val="29"/>
          <w:szCs w:val="29"/>
        </w:rPr>
        <w:t>日下午3点前将竞赛学生名单纸质版交至数学与统计学院教务办公室（泉山校区9号楼15</w:t>
      </w:r>
      <w:r w:rsidR="006D5A09">
        <w:rPr>
          <w:rFonts w:ascii="仿宋_gb2312" w:eastAsia="仿宋_gb2312" w:hAnsi="微软雅黑" w:hint="eastAsia"/>
          <w:color w:val="000000"/>
          <w:sz w:val="29"/>
          <w:szCs w:val="29"/>
        </w:rPr>
        <w:t>09</w:t>
      </w:r>
      <w:bookmarkStart w:id="0" w:name="_GoBack"/>
      <w:bookmarkEnd w:id="0"/>
      <w:r w:rsidRPr="004D5053">
        <w:rPr>
          <w:rFonts w:ascii="仿宋_gb2312" w:eastAsia="仿宋_gb2312" w:hAnsi="微软雅黑" w:hint="eastAsia"/>
          <w:color w:val="000000"/>
          <w:sz w:val="29"/>
          <w:szCs w:val="29"/>
        </w:rPr>
        <w:t>室），电子版发送liuhh@jsnu.edu.cn。每位参赛学生须交报名费60元（用于分区赛和决赛阶段竞赛工作的组织、命题、评奖、颁奖等项费用）。报名费以学院为单位通过支付宝转给刘红华老师。（支付宝账号：15996921761，用户名：刘红华，备注：学院+人数）</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特别提醒：全国大学生数学竞赛</w:t>
      </w:r>
      <w:r w:rsidRPr="004D5053">
        <w:rPr>
          <w:rFonts w:ascii="仿宋_gb2312" w:eastAsia="仿宋_gb2312" w:hAnsi="微软雅黑" w:hint="eastAsia"/>
          <w:color w:val="000000"/>
          <w:sz w:val="29"/>
          <w:szCs w:val="29"/>
        </w:rPr>
        <w:t>与</w:t>
      </w:r>
      <w:r w:rsidRPr="004D5053">
        <w:rPr>
          <w:rStyle w:val="a4"/>
          <w:rFonts w:ascii="仿宋_gb2312" w:eastAsia="仿宋_gb2312" w:hAnsi="微软雅黑" w:hint="eastAsia"/>
          <w:color w:val="000000"/>
          <w:sz w:val="29"/>
          <w:szCs w:val="29"/>
        </w:rPr>
        <w:t>全国大学生数学建模竞赛</w:t>
      </w:r>
      <w:r w:rsidRPr="004D5053">
        <w:rPr>
          <w:rFonts w:ascii="仿宋_gb2312" w:eastAsia="仿宋_gb2312" w:hAnsi="微软雅黑" w:hint="eastAsia"/>
          <w:color w:val="000000"/>
          <w:sz w:val="29"/>
          <w:szCs w:val="29"/>
        </w:rPr>
        <w:t>是两种不同类型的竞赛，辅导和比赛时间不冲突。</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五、考前辅导</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lastRenderedPageBreak/>
        <w:t>为更好地组织参加第</w:t>
      </w:r>
      <w:r w:rsidR="00B3660F" w:rsidRPr="004D5053">
        <w:rPr>
          <w:rFonts w:ascii="仿宋_gb2312" w:eastAsia="仿宋_gb2312" w:hAnsi="微软雅黑" w:hint="eastAsia"/>
          <w:color w:val="000000"/>
          <w:sz w:val="29"/>
          <w:szCs w:val="29"/>
        </w:rPr>
        <w:t>十</w:t>
      </w:r>
      <w:r w:rsidRPr="004D5053">
        <w:rPr>
          <w:rFonts w:ascii="仿宋_gb2312" w:eastAsia="仿宋_gb2312" w:hAnsi="微软雅黑" w:hint="eastAsia"/>
          <w:color w:val="000000"/>
          <w:sz w:val="29"/>
          <w:szCs w:val="29"/>
        </w:rPr>
        <w:t>届全国大学生数学竞赛，学校将组织赛前集训，学校将选聘有经验的教师于7月</w:t>
      </w:r>
      <w:r w:rsidR="00B3660F" w:rsidRPr="004D5053">
        <w:rPr>
          <w:rFonts w:ascii="仿宋_gb2312" w:eastAsia="仿宋_gb2312" w:hAnsi="微软雅黑" w:hint="eastAsia"/>
          <w:color w:val="000000"/>
          <w:sz w:val="29"/>
          <w:szCs w:val="29"/>
        </w:rPr>
        <w:t>14</w:t>
      </w:r>
      <w:r w:rsidRPr="004D5053">
        <w:rPr>
          <w:rFonts w:ascii="仿宋_gb2312" w:eastAsia="仿宋_gb2312" w:hAnsi="微软雅黑" w:hint="eastAsia"/>
          <w:color w:val="000000"/>
          <w:sz w:val="29"/>
          <w:szCs w:val="29"/>
        </w:rPr>
        <w:t>日-7月31日和9月</w:t>
      </w:r>
      <w:r w:rsidR="00B3660F"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日-10月</w:t>
      </w:r>
      <w:r w:rsidR="00B3660F" w:rsidRPr="004D5053">
        <w:rPr>
          <w:rFonts w:ascii="仿宋_gb2312" w:eastAsia="仿宋_gb2312" w:hAnsi="微软雅黑" w:hint="eastAsia"/>
          <w:color w:val="000000"/>
          <w:sz w:val="29"/>
          <w:szCs w:val="29"/>
        </w:rPr>
        <w:t>21</w:t>
      </w:r>
      <w:r w:rsidRPr="004D5053">
        <w:rPr>
          <w:rFonts w:ascii="仿宋_gb2312" w:eastAsia="仿宋_gb2312" w:hAnsi="微软雅黑" w:hint="eastAsia"/>
          <w:color w:val="000000"/>
          <w:sz w:val="29"/>
          <w:szCs w:val="29"/>
        </w:rPr>
        <w:t>日（每周末）免费进行强化辅导。</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数学专业学生7月</w:t>
      </w:r>
      <w:r w:rsidR="00B3660F" w:rsidRPr="004D5053">
        <w:rPr>
          <w:rFonts w:ascii="仿宋_gb2312" w:eastAsia="仿宋_gb2312" w:hAnsi="微软雅黑" w:hint="eastAsia"/>
          <w:color w:val="000000"/>
          <w:sz w:val="29"/>
          <w:szCs w:val="29"/>
        </w:rPr>
        <w:t>14</w:t>
      </w:r>
      <w:r w:rsidRPr="004D5053">
        <w:rPr>
          <w:rFonts w:ascii="仿宋_gb2312" w:eastAsia="仿宋_gb2312" w:hAnsi="微软雅黑" w:hint="eastAsia"/>
          <w:color w:val="000000"/>
          <w:sz w:val="29"/>
          <w:szCs w:val="29"/>
        </w:rPr>
        <w:t>日上午8:00到</w:t>
      </w:r>
      <w:r w:rsidR="00ED4B65" w:rsidRPr="004D5053">
        <w:rPr>
          <w:rFonts w:ascii="仿宋_gb2312" w:eastAsia="仿宋_gb2312" w:hAnsi="微软雅黑" w:hint="eastAsia"/>
          <w:color w:val="000000"/>
          <w:sz w:val="29"/>
          <w:szCs w:val="29"/>
        </w:rPr>
        <w:t>7</w:t>
      </w:r>
      <w:r w:rsidRPr="004D5053">
        <w:rPr>
          <w:rFonts w:ascii="仿宋_gb2312" w:eastAsia="仿宋_gb2312" w:hAnsi="微软雅黑" w:hint="eastAsia"/>
          <w:color w:val="000000"/>
          <w:sz w:val="29"/>
          <w:szCs w:val="29"/>
        </w:rPr>
        <w:t>#20</w:t>
      </w:r>
      <w:r w:rsidR="00ED4B65"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报到上课；</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非数学专业学生9月</w:t>
      </w:r>
      <w:r w:rsidR="00B3660F"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日上午8:00到</w:t>
      </w:r>
      <w:r w:rsidR="00ED4B65" w:rsidRPr="004D5053">
        <w:rPr>
          <w:rFonts w:ascii="仿宋_gb2312" w:eastAsia="仿宋_gb2312" w:hAnsi="微软雅黑" w:hint="eastAsia"/>
          <w:color w:val="000000"/>
          <w:sz w:val="29"/>
          <w:szCs w:val="29"/>
        </w:rPr>
        <w:t>7</w:t>
      </w:r>
      <w:r w:rsidRPr="004D5053">
        <w:rPr>
          <w:rFonts w:ascii="仿宋_gb2312" w:eastAsia="仿宋_gb2312" w:hAnsi="微软雅黑" w:hint="eastAsia"/>
          <w:color w:val="000000"/>
          <w:sz w:val="29"/>
          <w:szCs w:val="29"/>
        </w:rPr>
        <w:t>#</w:t>
      </w:r>
      <w:r w:rsidR="00ED4B65" w:rsidRPr="004D5053">
        <w:rPr>
          <w:rFonts w:ascii="仿宋_gb2312" w:eastAsia="仿宋_gb2312" w:hAnsi="微软雅黑" w:hint="eastAsia"/>
          <w:color w:val="000000"/>
          <w:sz w:val="29"/>
          <w:szCs w:val="29"/>
        </w:rPr>
        <w:t>308</w:t>
      </w:r>
      <w:r w:rsidRPr="004D5053">
        <w:rPr>
          <w:rFonts w:ascii="仿宋_gb2312" w:eastAsia="仿宋_gb2312" w:hAnsi="微软雅黑" w:hint="eastAsia"/>
          <w:color w:val="000000"/>
          <w:sz w:val="29"/>
          <w:szCs w:val="29"/>
        </w:rPr>
        <w:t>报到上课。</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Style w:val="a4"/>
          <w:rFonts w:ascii="仿宋_gb2312" w:eastAsia="仿宋_gb2312" w:hAnsi="微软雅黑" w:hint="eastAsia"/>
          <w:color w:val="000000"/>
          <w:sz w:val="29"/>
          <w:szCs w:val="29"/>
        </w:rPr>
        <w:t>六、奖项设置</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设预赛（以省、市、自治区作为赛区，军队院校为一个独立赛区）奖与决赛奖。预赛奖，按照数学类专业与非数学类专业分别评奖。每个赛区的获奖总名额不超过总参赛人数的25%（其中一等奖、二等奖、三等奖分别占各类获奖总人数的20%、30%、50%）。颁发“第九届全国大学生数学竞赛预赛*等奖”证书。</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联系人：刘红华；联系电话：83403154（3154）。</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附件：</w:t>
      </w:r>
    </w:p>
    <w:p w:rsidR="004A6D83" w:rsidRPr="004D5053" w:rsidRDefault="004A6D83" w:rsidP="004A6D83">
      <w:pPr>
        <w:pStyle w:val="a3"/>
        <w:shd w:val="clear" w:color="auto" w:fill="FFFFFF"/>
        <w:spacing w:before="60" w:beforeAutospacing="0" w:after="165" w:afterAutospacing="0" w:line="338" w:lineRule="atLeast"/>
        <w:ind w:firstLine="585"/>
        <w:jc w:val="both"/>
        <w:rPr>
          <w:rFonts w:ascii="微软雅黑" w:eastAsia="微软雅黑" w:hAnsi="微软雅黑"/>
          <w:color w:val="000000"/>
          <w:sz w:val="23"/>
          <w:szCs w:val="23"/>
        </w:rPr>
      </w:pPr>
      <w:r w:rsidRPr="004D5053">
        <w:rPr>
          <w:rFonts w:ascii="微软雅黑" w:eastAsia="微软雅黑" w:hAnsi="微软雅黑"/>
          <w:noProof/>
          <w:color w:val="000000"/>
          <w:sz w:val="23"/>
          <w:szCs w:val="23"/>
        </w:rPr>
        <w:drawing>
          <wp:inline distT="0" distB="0" distL="0" distR="0" wp14:anchorId="5CD900DE" wp14:editId="0C03332C">
            <wp:extent cx="154940" cy="154940"/>
            <wp:effectExtent l="0" t="0" r="0" b="0"/>
            <wp:docPr id="1" name="图片 1" descr="http://jwc.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jsnu.edu.cn/_ueditor/themes/default/images/icon_xl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hyperlink r:id="rId8" w:history="1">
        <w:r w:rsidRPr="004D5053">
          <w:rPr>
            <w:rStyle w:val="a5"/>
            <w:rFonts w:ascii="仿宋_gb2312" w:eastAsia="仿宋_gb2312" w:hAnsi="微软雅黑" w:hint="eastAsia"/>
            <w:color w:val="000000"/>
            <w:sz w:val="29"/>
            <w:szCs w:val="29"/>
          </w:rPr>
          <w:t>1.第</w:t>
        </w:r>
        <w:r w:rsidR="00B3660F" w:rsidRPr="004D5053">
          <w:rPr>
            <w:rStyle w:val="a5"/>
            <w:rFonts w:ascii="仿宋_gb2312" w:eastAsia="仿宋_gb2312" w:hAnsi="微软雅黑" w:hint="eastAsia"/>
            <w:color w:val="000000"/>
            <w:sz w:val="29"/>
            <w:szCs w:val="29"/>
          </w:rPr>
          <w:t>十</w:t>
        </w:r>
        <w:r w:rsidRPr="004D5053">
          <w:rPr>
            <w:rStyle w:val="a5"/>
            <w:rFonts w:ascii="仿宋_gb2312" w:eastAsia="仿宋_gb2312" w:hAnsi="微软雅黑" w:hint="eastAsia"/>
            <w:color w:val="000000"/>
            <w:sz w:val="29"/>
            <w:szCs w:val="29"/>
          </w:rPr>
          <w:t>届全国大学生数学竞赛报名表-数学专业.</w:t>
        </w:r>
        <w:proofErr w:type="gramStart"/>
        <w:r w:rsidRPr="004D5053">
          <w:rPr>
            <w:rStyle w:val="a5"/>
            <w:rFonts w:ascii="仿宋_gb2312" w:eastAsia="仿宋_gb2312" w:hAnsi="微软雅黑" w:hint="eastAsia"/>
            <w:color w:val="000000"/>
            <w:sz w:val="29"/>
            <w:szCs w:val="29"/>
          </w:rPr>
          <w:t>xls</w:t>
        </w:r>
        <w:proofErr w:type="gramEnd"/>
      </w:hyperlink>
    </w:p>
    <w:p w:rsidR="004A6D83" w:rsidRPr="004D5053" w:rsidRDefault="004A6D83" w:rsidP="004A6D83">
      <w:pPr>
        <w:pStyle w:val="a3"/>
        <w:shd w:val="clear" w:color="auto" w:fill="FFFFFF"/>
        <w:spacing w:before="60" w:beforeAutospacing="0" w:after="165" w:afterAutospacing="0" w:line="338" w:lineRule="atLeast"/>
        <w:ind w:firstLine="465"/>
        <w:jc w:val="both"/>
        <w:rPr>
          <w:rFonts w:ascii="微软雅黑" w:eastAsia="微软雅黑" w:hAnsi="微软雅黑"/>
          <w:color w:val="000000"/>
          <w:sz w:val="23"/>
          <w:szCs w:val="23"/>
        </w:rPr>
      </w:pPr>
      <w:r w:rsidRPr="004D5053">
        <w:rPr>
          <w:rFonts w:ascii="微软雅黑" w:eastAsia="微软雅黑" w:hAnsi="微软雅黑" w:hint="eastAsia"/>
          <w:color w:val="000000"/>
          <w:sz w:val="23"/>
          <w:szCs w:val="23"/>
        </w:rPr>
        <w:t> </w:t>
      </w:r>
      <w:r w:rsidRPr="004D5053">
        <w:rPr>
          <w:rFonts w:ascii="微软雅黑" w:eastAsia="微软雅黑" w:hAnsi="微软雅黑"/>
          <w:noProof/>
          <w:color w:val="000000"/>
          <w:sz w:val="23"/>
          <w:szCs w:val="23"/>
        </w:rPr>
        <w:drawing>
          <wp:inline distT="0" distB="0" distL="0" distR="0" wp14:anchorId="71CECF63" wp14:editId="25F6EFD8">
            <wp:extent cx="154940" cy="154940"/>
            <wp:effectExtent l="0" t="0" r="0" b="0"/>
            <wp:docPr id="2" name="图片 2" descr="http://jwc.jsn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wc.jsnu.edu.cn/_ueditor/themes/default/images/icon_xl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hyperlink r:id="rId9" w:history="1">
        <w:r w:rsidRPr="004D5053">
          <w:rPr>
            <w:rStyle w:val="a5"/>
            <w:rFonts w:ascii="仿宋_gb2312" w:eastAsia="仿宋_gb2312" w:hAnsi="微软雅黑" w:hint="eastAsia"/>
            <w:color w:val="000000"/>
            <w:sz w:val="29"/>
            <w:szCs w:val="29"/>
          </w:rPr>
          <w:t>2.第</w:t>
        </w:r>
        <w:r w:rsidR="00B3660F" w:rsidRPr="004D5053">
          <w:rPr>
            <w:rStyle w:val="a5"/>
            <w:rFonts w:ascii="仿宋_gb2312" w:eastAsia="仿宋_gb2312" w:hAnsi="微软雅黑" w:hint="eastAsia"/>
            <w:color w:val="000000"/>
            <w:sz w:val="29"/>
            <w:szCs w:val="29"/>
          </w:rPr>
          <w:t>十</w:t>
        </w:r>
        <w:r w:rsidRPr="004D5053">
          <w:rPr>
            <w:rStyle w:val="a5"/>
            <w:rFonts w:ascii="仿宋_gb2312" w:eastAsia="仿宋_gb2312" w:hAnsi="微软雅黑" w:hint="eastAsia"/>
            <w:color w:val="000000"/>
            <w:sz w:val="29"/>
            <w:szCs w:val="29"/>
          </w:rPr>
          <w:t>届全国大学生数学竞赛报名表-非数学专业.</w:t>
        </w:r>
        <w:proofErr w:type="gramStart"/>
        <w:r w:rsidRPr="004D5053">
          <w:rPr>
            <w:rStyle w:val="a5"/>
            <w:rFonts w:ascii="仿宋_gb2312" w:eastAsia="仿宋_gb2312" w:hAnsi="微软雅黑" w:hint="eastAsia"/>
            <w:color w:val="000000"/>
            <w:sz w:val="29"/>
            <w:szCs w:val="29"/>
          </w:rPr>
          <w:t>xls</w:t>
        </w:r>
        <w:proofErr w:type="gramEnd"/>
      </w:hyperlink>
    </w:p>
    <w:p w:rsidR="004A6D83" w:rsidRPr="004D5053" w:rsidRDefault="004A6D83" w:rsidP="004A6D83">
      <w:pPr>
        <w:pStyle w:val="a3"/>
        <w:shd w:val="clear" w:color="auto" w:fill="FFFFFF"/>
        <w:spacing w:before="60" w:beforeAutospacing="0" w:after="165" w:afterAutospacing="0" w:line="338" w:lineRule="atLeast"/>
        <w:ind w:firstLine="585"/>
        <w:jc w:val="right"/>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教务处</w:t>
      </w:r>
    </w:p>
    <w:p w:rsidR="004A6D83" w:rsidRPr="004D5053" w:rsidRDefault="004A6D83" w:rsidP="004A6D83">
      <w:pPr>
        <w:pStyle w:val="a3"/>
        <w:shd w:val="clear" w:color="auto" w:fill="FFFFFF"/>
        <w:spacing w:before="60" w:beforeAutospacing="0" w:after="165" w:afterAutospacing="0" w:line="338" w:lineRule="atLeast"/>
        <w:ind w:firstLine="585"/>
        <w:jc w:val="right"/>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数学与统计学院</w:t>
      </w:r>
    </w:p>
    <w:p w:rsidR="004A6D83" w:rsidRDefault="004A6D83" w:rsidP="004A6D83">
      <w:pPr>
        <w:pStyle w:val="a3"/>
        <w:shd w:val="clear" w:color="auto" w:fill="FFFFFF"/>
        <w:spacing w:before="60" w:beforeAutospacing="0" w:after="165" w:afterAutospacing="0" w:line="338" w:lineRule="atLeast"/>
        <w:ind w:firstLine="585"/>
        <w:jc w:val="right"/>
        <w:rPr>
          <w:rFonts w:ascii="微软雅黑" w:eastAsia="微软雅黑" w:hAnsi="微软雅黑"/>
          <w:color w:val="000000"/>
          <w:sz w:val="23"/>
          <w:szCs w:val="23"/>
        </w:rPr>
      </w:pPr>
      <w:r w:rsidRPr="004D5053">
        <w:rPr>
          <w:rFonts w:ascii="仿宋_gb2312" w:eastAsia="仿宋_gb2312" w:hAnsi="微软雅黑" w:hint="eastAsia"/>
          <w:color w:val="000000"/>
          <w:sz w:val="29"/>
          <w:szCs w:val="29"/>
        </w:rPr>
        <w:t>201</w:t>
      </w:r>
      <w:r w:rsidR="00267A54"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年6月</w:t>
      </w:r>
      <w:r w:rsidR="00267A54" w:rsidRPr="004D5053">
        <w:rPr>
          <w:rFonts w:ascii="仿宋_gb2312" w:eastAsia="仿宋_gb2312" w:hAnsi="微软雅黑" w:hint="eastAsia"/>
          <w:color w:val="000000"/>
          <w:sz w:val="29"/>
          <w:szCs w:val="29"/>
        </w:rPr>
        <w:t>8</w:t>
      </w:r>
      <w:r w:rsidRPr="004D5053">
        <w:rPr>
          <w:rFonts w:ascii="仿宋_gb2312" w:eastAsia="仿宋_gb2312" w:hAnsi="微软雅黑" w:hint="eastAsia"/>
          <w:color w:val="000000"/>
          <w:sz w:val="29"/>
          <w:szCs w:val="29"/>
        </w:rPr>
        <w:t>日</w:t>
      </w:r>
    </w:p>
    <w:p w:rsidR="00CA696E" w:rsidRPr="004A6D83" w:rsidRDefault="00CA696E"/>
    <w:sectPr w:rsidR="00CA696E" w:rsidRPr="004A6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67" w:rsidRDefault="009F7E67" w:rsidP="00B3660F">
      <w:r>
        <w:separator/>
      </w:r>
    </w:p>
  </w:endnote>
  <w:endnote w:type="continuationSeparator" w:id="0">
    <w:p w:rsidR="009F7E67" w:rsidRDefault="009F7E67" w:rsidP="00B3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67" w:rsidRDefault="009F7E67" w:rsidP="00B3660F">
      <w:r>
        <w:separator/>
      </w:r>
    </w:p>
  </w:footnote>
  <w:footnote w:type="continuationSeparator" w:id="0">
    <w:p w:rsidR="009F7E67" w:rsidRDefault="009F7E67" w:rsidP="00B3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FD"/>
    <w:rsid w:val="001156FD"/>
    <w:rsid w:val="00267A54"/>
    <w:rsid w:val="003940E7"/>
    <w:rsid w:val="004A6D83"/>
    <w:rsid w:val="004D5053"/>
    <w:rsid w:val="005B1BAF"/>
    <w:rsid w:val="006D5A09"/>
    <w:rsid w:val="00766489"/>
    <w:rsid w:val="008E72E5"/>
    <w:rsid w:val="009F7E67"/>
    <w:rsid w:val="00B3660F"/>
    <w:rsid w:val="00CA696E"/>
    <w:rsid w:val="00ED4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D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6D83"/>
    <w:rPr>
      <w:b/>
      <w:bCs/>
    </w:rPr>
  </w:style>
  <w:style w:type="character" w:styleId="a5">
    <w:name w:val="Hyperlink"/>
    <w:basedOn w:val="a0"/>
    <w:uiPriority w:val="99"/>
    <w:semiHidden/>
    <w:unhideWhenUsed/>
    <w:rsid w:val="004A6D83"/>
    <w:rPr>
      <w:color w:val="0000FF"/>
      <w:u w:val="single"/>
    </w:rPr>
  </w:style>
  <w:style w:type="paragraph" w:styleId="a6">
    <w:name w:val="Balloon Text"/>
    <w:basedOn w:val="a"/>
    <w:link w:val="Char"/>
    <w:uiPriority w:val="99"/>
    <w:semiHidden/>
    <w:unhideWhenUsed/>
    <w:rsid w:val="004A6D83"/>
    <w:rPr>
      <w:sz w:val="18"/>
      <w:szCs w:val="18"/>
    </w:rPr>
  </w:style>
  <w:style w:type="character" w:customStyle="1" w:styleId="Char">
    <w:name w:val="批注框文本 Char"/>
    <w:basedOn w:val="a0"/>
    <w:link w:val="a6"/>
    <w:uiPriority w:val="99"/>
    <w:semiHidden/>
    <w:rsid w:val="004A6D83"/>
    <w:rPr>
      <w:sz w:val="18"/>
      <w:szCs w:val="18"/>
    </w:rPr>
  </w:style>
  <w:style w:type="paragraph" w:styleId="a7">
    <w:name w:val="header"/>
    <w:basedOn w:val="a"/>
    <w:link w:val="Char0"/>
    <w:uiPriority w:val="99"/>
    <w:unhideWhenUsed/>
    <w:rsid w:val="00B366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3660F"/>
    <w:rPr>
      <w:sz w:val="18"/>
      <w:szCs w:val="18"/>
    </w:rPr>
  </w:style>
  <w:style w:type="paragraph" w:styleId="a8">
    <w:name w:val="footer"/>
    <w:basedOn w:val="a"/>
    <w:link w:val="Char1"/>
    <w:uiPriority w:val="99"/>
    <w:unhideWhenUsed/>
    <w:rsid w:val="00B3660F"/>
    <w:pPr>
      <w:tabs>
        <w:tab w:val="center" w:pos="4153"/>
        <w:tab w:val="right" w:pos="8306"/>
      </w:tabs>
      <w:snapToGrid w:val="0"/>
      <w:jc w:val="left"/>
    </w:pPr>
    <w:rPr>
      <w:sz w:val="18"/>
      <w:szCs w:val="18"/>
    </w:rPr>
  </w:style>
  <w:style w:type="character" w:customStyle="1" w:styleId="Char1">
    <w:name w:val="页脚 Char"/>
    <w:basedOn w:val="a0"/>
    <w:link w:val="a8"/>
    <w:uiPriority w:val="99"/>
    <w:rsid w:val="00B366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6D8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A6D83"/>
    <w:rPr>
      <w:b/>
      <w:bCs/>
    </w:rPr>
  </w:style>
  <w:style w:type="character" w:styleId="a5">
    <w:name w:val="Hyperlink"/>
    <w:basedOn w:val="a0"/>
    <w:uiPriority w:val="99"/>
    <w:semiHidden/>
    <w:unhideWhenUsed/>
    <w:rsid w:val="004A6D83"/>
    <w:rPr>
      <w:color w:val="0000FF"/>
      <w:u w:val="single"/>
    </w:rPr>
  </w:style>
  <w:style w:type="paragraph" w:styleId="a6">
    <w:name w:val="Balloon Text"/>
    <w:basedOn w:val="a"/>
    <w:link w:val="Char"/>
    <w:uiPriority w:val="99"/>
    <w:semiHidden/>
    <w:unhideWhenUsed/>
    <w:rsid w:val="004A6D83"/>
    <w:rPr>
      <w:sz w:val="18"/>
      <w:szCs w:val="18"/>
    </w:rPr>
  </w:style>
  <w:style w:type="character" w:customStyle="1" w:styleId="Char">
    <w:name w:val="批注框文本 Char"/>
    <w:basedOn w:val="a0"/>
    <w:link w:val="a6"/>
    <w:uiPriority w:val="99"/>
    <w:semiHidden/>
    <w:rsid w:val="004A6D83"/>
    <w:rPr>
      <w:sz w:val="18"/>
      <w:szCs w:val="18"/>
    </w:rPr>
  </w:style>
  <w:style w:type="paragraph" w:styleId="a7">
    <w:name w:val="header"/>
    <w:basedOn w:val="a"/>
    <w:link w:val="Char0"/>
    <w:uiPriority w:val="99"/>
    <w:unhideWhenUsed/>
    <w:rsid w:val="00B366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B3660F"/>
    <w:rPr>
      <w:sz w:val="18"/>
      <w:szCs w:val="18"/>
    </w:rPr>
  </w:style>
  <w:style w:type="paragraph" w:styleId="a8">
    <w:name w:val="footer"/>
    <w:basedOn w:val="a"/>
    <w:link w:val="Char1"/>
    <w:uiPriority w:val="99"/>
    <w:unhideWhenUsed/>
    <w:rsid w:val="00B3660F"/>
    <w:pPr>
      <w:tabs>
        <w:tab w:val="center" w:pos="4153"/>
        <w:tab w:val="right" w:pos="8306"/>
      </w:tabs>
      <w:snapToGrid w:val="0"/>
      <w:jc w:val="left"/>
    </w:pPr>
    <w:rPr>
      <w:sz w:val="18"/>
      <w:szCs w:val="18"/>
    </w:rPr>
  </w:style>
  <w:style w:type="character" w:customStyle="1" w:styleId="Char1">
    <w:name w:val="页脚 Char"/>
    <w:basedOn w:val="a0"/>
    <w:link w:val="a8"/>
    <w:uiPriority w:val="99"/>
    <w:rsid w:val="00B366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9864">
      <w:bodyDiv w:val="1"/>
      <w:marLeft w:val="0"/>
      <w:marRight w:val="0"/>
      <w:marTop w:val="0"/>
      <w:marBottom w:val="0"/>
      <w:divBdr>
        <w:top w:val="none" w:sz="0" w:space="0" w:color="auto"/>
        <w:left w:val="none" w:sz="0" w:space="0" w:color="auto"/>
        <w:bottom w:val="none" w:sz="0" w:space="0" w:color="auto"/>
        <w:right w:val="none" w:sz="0" w:space="0" w:color="auto"/>
      </w:divBdr>
    </w:div>
    <w:div w:id="20064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jsnu.edu.cn/_upload/article/files/e2/64/a7ac61194c73b77983b0128dce9f/a60deaee-d9b0-4c19-8ae4-31019d15fff9.xls"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wc.jsnu.edu.cn/_upload/article/files/e2/64/a7ac61194c73b77983b0128dce9f/c6089030-103b-4f3f-97b9-d9c860f574dc.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dcterms:created xsi:type="dcterms:W3CDTF">2018-06-05T09:36:00Z</dcterms:created>
  <dcterms:modified xsi:type="dcterms:W3CDTF">2018-06-11T09:33:00Z</dcterms:modified>
</cp:coreProperties>
</file>